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E3C615" w14:textId="77777777" w:rsidR="00BB0A9A" w:rsidRDefault="00BB0A9A" w:rsidP="00BB0A9A"/>
    <w:p w14:paraId="3602A2F1" w14:textId="77777777" w:rsidR="00BB0A9A" w:rsidRDefault="00BB0A9A" w:rsidP="00BB0A9A"/>
    <w:p w14:paraId="49A20DD9" w14:textId="77777777" w:rsidR="00BB0A9A" w:rsidRPr="00E75F72" w:rsidRDefault="00BB0A9A" w:rsidP="00BB0A9A">
      <w:pPr>
        <w:keepNext/>
        <w:keepLines/>
        <w:tabs>
          <w:tab w:val="center" w:pos="4816"/>
          <w:tab w:val="left" w:pos="8445"/>
        </w:tabs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595959"/>
          <w:sz w:val="44"/>
          <w:szCs w:val="44"/>
          <w:lang w:eastAsia="en-US"/>
        </w:rPr>
      </w:pPr>
      <w:r>
        <w:rPr>
          <w:rFonts w:ascii="Titillium Web" w:eastAsia="Times New Roman" w:hAnsi="Titillium Web" w:cs="Times New Roman"/>
          <w:b/>
          <w:bCs/>
          <w:noProof/>
          <w:color w:val="9102AE"/>
          <w:sz w:val="32"/>
          <w:szCs w:val="32"/>
          <w:lang w:eastAsia="en-US"/>
        </w:rPr>
        <w:drawing>
          <wp:inline distT="0" distB="0" distL="0" distR="0" wp14:anchorId="1A3FCC71" wp14:editId="1C92CE1D">
            <wp:extent cx="862149" cy="862149"/>
            <wp:effectExtent l="0" t="0" r="1905" b="1905"/>
            <wp:docPr id="96943291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32918" name="Immagine 96943291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6507" cy="876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tillium Web" w:eastAsia="Times New Roman" w:hAnsi="Titillium Web" w:cs="Times New Roman"/>
          <w:noProof/>
          <w:color w:val="2E74B5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F9F7D1" wp14:editId="7EA4D920">
                <wp:simplePos x="0" y="0"/>
                <wp:positionH relativeFrom="column">
                  <wp:posOffset>3940400</wp:posOffset>
                </wp:positionH>
                <wp:positionV relativeFrom="paragraph">
                  <wp:posOffset>14605</wp:posOffset>
                </wp:positionV>
                <wp:extent cx="2401038" cy="766916"/>
                <wp:effectExtent l="0" t="0" r="0" b="33655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1038" cy="7669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EF062" id="Rettangolo 2" o:spid="_x0000_s1026" style="position:absolute;margin-left:310.25pt;margin-top:1.15pt;width:189.05pt;height:60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" filled="f" stroked="f">
                <v:shadow on="t" color="black" opacity="22937f" origin=",.5" offset="0,.63889mm"/>
              </v:rect>
            </w:pict>
          </mc:Fallback>
        </mc:AlternateContent>
      </w:r>
    </w:p>
    <w:p w14:paraId="68FA1F9C" w14:textId="77777777" w:rsidR="00BB0A9A" w:rsidRPr="00004DA1" w:rsidRDefault="00BB0A9A" w:rsidP="00BB0A9A">
      <w:pPr>
        <w:keepNext/>
        <w:keepLines/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</w:pPr>
      <w:r w:rsidRPr="00004DA1"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  <w:t>Bilancio iniziale delle competenze</w:t>
      </w:r>
    </w:p>
    <w:p w14:paraId="5E9BA572" w14:textId="77777777" w:rsidR="00BB0A9A" w:rsidRPr="00DB342A" w:rsidRDefault="00BB0A9A" w:rsidP="00BB0A9A">
      <w:pPr>
        <w:keepNext/>
        <w:keepLines/>
        <w:spacing w:before="240" w:line="259" w:lineRule="auto"/>
        <w:jc w:val="center"/>
        <w:outlineLvl w:val="0"/>
        <w:rPr>
          <w:rFonts w:ascii="Titillium Web" w:eastAsia="Times New Roman" w:hAnsi="Titillium Web" w:cs="Times New Roman"/>
          <w:color w:val="2E74B5"/>
          <w:sz w:val="18"/>
          <w:szCs w:val="18"/>
          <w:lang w:eastAsia="en-US"/>
        </w:rPr>
      </w:pPr>
    </w:p>
    <w:p w14:paraId="1426F756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Nome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  <w:proofErr w:type="gramEnd"/>
      <w:r w:rsidRPr="00DB342A">
        <w:rPr>
          <w:rFonts w:ascii="Titillium Web" w:eastAsia="Calibri" w:hAnsi="Titillium Web" w:cs="Arial"/>
          <w:lang w:eastAsia="en-US"/>
        </w:rPr>
        <w:t xml:space="preserve"> </w:t>
      </w: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  Cognome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</w:p>
    <w:p w14:paraId="35EB4774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Disciplina di </w:t>
      </w: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insegnamento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</w:t>
      </w:r>
      <w:proofErr w:type="gramEnd"/>
    </w:p>
    <w:p w14:paraId="1E21033C" w14:textId="77777777" w:rsidR="00BB0A9A" w:rsidRPr="00DB342A" w:rsidRDefault="00BB0A9A" w:rsidP="00BB0A9A">
      <w:pPr>
        <w:spacing w:line="276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proofErr w:type="spell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>lstituto</w:t>
      </w:r>
      <w:proofErr w:type="spellEnd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 di </w:t>
      </w:r>
      <w:proofErr w:type="gramStart"/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appartenenza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</w:t>
      </w:r>
      <w:proofErr w:type="gramEnd"/>
    </w:p>
    <w:p w14:paraId="1730B61D" w14:textId="77777777" w:rsidR="00BB0A9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</w:p>
    <w:p w14:paraId="7385E352" w14:textId="10D003DC" w:rsidR="00BB0A9A" w:rsidRPr="00DB342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  <w:r>
        <w:rPr>
          <w:rFonts w:ascii="Titillium Web" w:eastAsia="Calibri" w:hAnsi="Titillium Web" w:cs="Arial"/>
          <w:sz w:val="22"/>
          <w:szCs w:val="22"/>
          <w:lang w:eastAsia="en-US"/>
        </w:rPr>
        <w:t xml:space="preserve">Sede (città/regione)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.....................................................................................................................................................</w:t>
      </w:r>
    </w:p>
    <w:p w14:paraId="726EA86A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Times New Roman"/>
          <w:b/>
          <w:bCs/>
          <w:sz w:val="16"/>
          <w:szCs w:val="16"/>
          <w:lang w:eastAsia="en-US"/>
        </w:rPr>
      </w:pPr>
    </w:p>
    <w:p w14:paraId="780F9CF0" w14:textId="77777777" w:rsidR="00BB0A9A" w:rsidRDefault="00BB0A9A" w:rsidP="00BB0A9A"/>
    <w:p w14:paraId="3F242C8C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</w:pPr>
      <w:r w:rsidRPr="00DB342A"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  <w:t>Livelli di competenza</w:t>
      </w:r>
    </w:p>
    <w:p w14:paraId="69CDD604" w14:textId="77777777" w:rsidR="00BB0A9A" w:rsidRPr="00DB342A" w:rsidRDefault="00BB0A9A" w:rsidP="00BB0A9A">
      <w:pPr>
        <w:spacing w:line="259" w:lineRule="auto"/>
        <w:jc w:val="center"/>
        <w:rPr>
          <w:rFonts w:ascii="Titillium Web" w:eastAsia="Calibri" w:hAnsi="Titillium Web" w:cs="Arial"/>
          <w:sz w:val="4"/>
          <w:szCs w:val="4"/>
          <w:lang w:eastAsia="en-US"/>
        </w:rPr>
      </w:pPr>
    </w:p>
    <w:p w14:paraId="18984B85" w14:textId="77777777" w:rsidR="00BB0A9A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DB342A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Ogni standard rappresenta la descrizione del livello ottimale atteso per ogni docente, sapendo che il criterio evolutivo è rappresentato dal passaggio da una situazione di 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esecuzione con supporto di tutoraggio ad una progressiva autonomia e padronanza, alla consapevolezza del proprio ‘stile professionale’, all’arricchimento creativo e personale, alla propensione/capacità di trasferire ad altri il proprio ‘sapere professionale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’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2595EEA8" w14:textId="77777777" w:rsidR="00BB0A9A" w:rsidRPr="00E75F72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Per una migliore comprensione degli indicatori di competenza si rinvia alla consultazione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della </w:t>
      </w:r>
      <w:r w:rsidRPr="00232DFD">
        <w:rPr>
          <w:rFonts w:ascii="Titillium Web" w:eastAsia="Calibri" w:hAnsi="Titillium Web" w:cs="Arial"/>
          <w:i/>
          <w:color w:val="000000"/>
          <w:sz w:val="19"/>
          <w:szCs w:val="19"/>
          <w:lang w:eastAsia="en-US"/>
        </w:rPr>
        <w:t>Legenda del Bilancio iniziale delle competenze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, strumento allegato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al presente documento, allegato nel quale sono fornite puntuali e dettagliate spiegazioni per ciascun indicatore; il documento può rivelarsi utile sussidio per un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 migliore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autovalutazione dei livelli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di competenza attesi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03F1657F" w14:textId="77777777" w:rsidR="00BB0A9A" w:rsidRPr="00E75F72" w:rsidRDefault="00BB0A9A" w:rsidP="00BB0A9A">
      <w:pPr>
        <w:spacing w:line="259" w:lineRule="auto"/>
        <w:jc w:val="both"/>
        <w:rPr>
          <w:rFonts w:ascii="Arial" w:eastAsia="Calibri" w:hAnsi="Arial" w:cs="Arial"/>
          <w:lang w:eastAsia="en-US"/>
        </w:rPr>
      </w:pPr>
    </w:p>
    <w:tbl>
      <w:tblPr>
        <w:tblStyle w:val="Grigliatabella1"/>
        <w:tblW w:w="0" w:type="auto"/>
        <w:jc w:val="center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9546"/>
      </w:tblGrid>
      <w:tr w:rsidR="00BB0A9A" w:rsidRPr="00E75F72" w14:paraId="1D90C8B9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  <w:left w:val="single" w:sz="12" w:space="0" w:color="A6A6A6" w:themeColor="background1" w:themeShade="A6"/>
              <w:bottom w:val="single" w:sz="12" w:space="0" w:color="A6A6A6" w:themeColor="background1" w:themeShade="A6"/>
              <w:right w:val="single" w:sz="12" w:space="0" w:color="A6A6A6" w:themeColor="background1" w:themeShade="A6"/>
            </w:tcBorders>
          </w:tcPr>
          <w:p w14:paraId="5ECF7108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57302D13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Nessuna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0</w:t>
            </w:r>
          </w:p>
          <w:p w14:paraId="6E3E24B1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194A15">
              <w:rPr>
                <w:rFonts w:ascii="Titillium Web" w:hAnsi="Titillium Web"/>
                <w:sz w:val="19"/>
                <w:szCs w:val="19"/>
              </w:rPr>
              <w:t>La competenza non è stata mai sperimentata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1127EA1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  <w:tr w:rsidR="00BB0A9A" w:rsidRPr="00E75F72" w14:paraId="4370F84B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</w:tcBorders>
          </w:tcPr>
          <w:p w14:paraId="567119B4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4BF3E69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Iniziale = Livello 1</w:t>
            </w:r>
          </w:p>
          <w:p w14:paraId="66E1B3F3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fase di avvio del processo di acquisizione e di prima formazione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BC1589A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E75F72" w14:paraId="552A88B7" w14:textId="77777777" w:rsidTr="00BB0A9A">
        <w:trPr>
          <w:jc w:val="center"/>
        </w:trPr>
        <w:tc>
          <w:tcPr>
            <w:tcW w:w="9546" w:type="dxa"/>
          </w:tcPr>
          <w:p w14:paraId="5FF221E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670B476C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 w:rsidRPr="00E422FF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In corso di formazione 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= Livello 2</w:t>
            </w:r>
          </w:p>
          <w:p w14:paraId="36BFF664" w14:textId="77777777" w:rsidR="00BB0A9A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via di consolidamento e in progressione verso gli standard attesi</w:t>
            </w:r>
            <w:r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D5C3357" w14:textId="77777777" w:rsidR="00BB0A9A" w:rsidRPr="00E75F72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  <w:r w:rsidRPr="00E75F72">
              <w:rPr>
                <w:rFonts w:ascii="Titillium Web" w:hAnsi="Titillium Web"/>
              </w:rPr>
              <w:tab/>
            </w:r>
          </w:p>
        </w:tc>
      </w:tr>
      <w:tr w:rsidR="00BB0A9A" w:rsidRPr="00DB342A" w14:paraId="6F4AA61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5BCBB4E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30E8461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Standard atteso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3</w:t>
            </w:r>
          </w:p>
          <w:p w14:paraId="59D55BA2" w14:textId="77777777" w:rsidR="00BB0A9A" w:rsidRPr="00DB342A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75F72">
              <w:rPr>
                <w:rFonts w:ascii="Titillium Web" w:hAnsi="Titillium Web"/>
                <w:sz w:val="19"/>
                <w:szCs w:val="19"/>
              </w:rPr>
              <w:t xml:space="preserve">La </w:t>
            </w:r>
            <w:r w:rsidRPr="00E422FF">
              <w:rPr>
                <w:rFonts w:ascii="Titillium Web" w:hAnsi="Titillium Web"/>
                <w:sz w:val="19"/>
                <w:szCs w:val="19"/>
              </w:rPr>
              <w:t>competenza è consolidata, consapevole e sicura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929450B" w14:textId="77777777" w:rsidR="00BB0A9A" w:rsidRPr="00D54B5D" w:rsidRDefault="00BB0A9A" w:rsidP="00C66CB0">
            <w:pPr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DB342A" w14:paraId="1463F43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0FA34380" w14:textId="77777777" w:rsidR="00BB0A9A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05614E69" w14:textId="77777777" w:rsidR="00BB0A9A" w:rsidRPr="00E75F72" w:rsidRDefault="00BB0A9A" w:rsidP="00BB0A9A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Esperto = Livello 4</w:t>
            </w:r>
          </w:p>
          <w:p w14:paraId="0109BB82" w14:textId="77777777" w:rsidR="00BB0A9A" w:rsidRDefault="00BB0A9A" w:rsidP="00BB0A9A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D54B5D">
              <w:rPr>
                <w:rFonts w:ascii="Titillium Web" w:hAnsi="Titillium Web"/>
                <w:sz w:val="19"/>
                <w:szCs w:val="19"/>
              </w:rPr>
              <w:t>La competenza è matura e accreditata e può essere messa a disposizione dei</w:t>
            </w:r>
            <w:r>
              <w:rPr>
                <w:rFonts w:ascii="Titillium Web" w:hAnsi="Titillium Web"/>
                <w:sz w:val="19"/>
                <w:szCs w:val="19"/>
              </w:rPr>
              <w:t>/delle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colleghi</w:t>
            </w:r>
            <w:r>
              <w:rPr>
                <w:rFonts w:ascii="Titillium Web" w:hAnsi="Titillium Web"/>
                <w:sz w:val="19"/>
                <w:szCs w:val="19"/>
              </w:rPr>
              <w:t>/e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</w:t>
            </w:r>
            <w:proofErr w:type="spellStart"/>
            <w:r w:rsidRPr="00D54B5D">
              <w:rPr>
                <w:rFonts w:ascii="Titillium Web" w:hAnsi="Titillium Web"/>
                <w:sz w:val="19"/>
                <w:szCs w:val="19"/>
              </w:rPr>
              <w:t>e</w:t>
            </w:r>
            <w:proofErr w:type="spellEnd"/>
            <w:r w:rsidRPr="00D54B5D">
              <w:rPr>
                <w:rFonts w:ascii="Titillium Web" w:hAnsi="Titillium Web"/>
                <w:sz w:val="19"/>
                <w:szCs w:val="19"/>
              </w:rPr>
              <w:t xml:space="preserve"> della scuola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EDA365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</w:tbl>
    <w:p w14:paraId="6CAFBFA9" w14:textId="77777777" w:rsidR="00BB0A9A" w:rsidRDefault="00BB0A9A" w:rsidP="00BB0A9A"/>
    <w:p w14:paraId="3BC726EB" w14:textId="77777777" w:rsidR="00BB0A9A" w:rsidRDefault="00BB0A9A" w:rsidP="00BB0A9A"/>
    <w:p w14:paraId="6D879747" w14:textId="77777777" w:rsidR="00BB0A9A" w:rsidRDefault="00BB0A9A" w:rsidP="00BB0A9A"/>
    <w:p w14:paraId="389B266C" w14:textId="77777777" w:rsidR="00BB0A9A" w:rsidRDefault="00BB0A9A" w:rsidP="00BB0A9A"/>
    <w:p w14:paraId="17920AF4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21CB2049" w14:textId="77777777" w:rsidTr="00C66CB0">
        <w:tc>
          <w:tcPr>
            <w:tcW w:w="9781" w:type="dxa"/>
            <w:gridSpan w:val="3"/>
            <w:shd w:val="clear" w:color="auto" w:fill="95B3D7" w:themeFill="accent1" w:themeFillTint="99"/>
          </w:tcPr>
          <w:p w14:paraId="4925C04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  <w:p w14:paraId="484EF1B0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A - DIDATTICA</w:t>
            </w:r>
          </w:p>
          <w:p w14:paraId="179AB638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t>Area delle competenze didattiche, metodologiche e relazionali</w:t>
            </w:r>
          </w:p>
          <w:p w14:paraId="254D4E8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</w:tr>
      <w:tr w:rsidR="00BB0A9A" w:rsidRPr="00DB342A" w14:paraId="65A1F818" w14:textId="77777777" w:rsidTr="00C66CB0">
        <w:tc>
          <w:tcPr>
            <w:tcW w:w="2353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8A258AE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Standard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minimi</w:t>
            </w:r>
            <w:proofErr w:type="spellEnd"/>
          </w:p>
        </w:tc>
        <w:tc>
          <w:tcPr>
            <w:tcW w:w="5328" w:type="dxa"/>
            <w:vAlign w:val="center"/>
          </w:tcPr>
          <w:p w14:paraId="5730BB9D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Indicatori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delle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competenze</w:t>
            </w:r>
            <w:proofErr w:type="spellEnd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professionali</w:t>
            </w:r>
            <w:proofErr w:type="spellEnd"/>
          </w:p>
        </w:tc>
        <w:tc>
          <w:tcPr>
            <w:tcW w:w="2100" w:type="dxa"/>
            <w:vAlign w:val="center"/>
          </w:tcPr>
          <w:p w14:paraId="039A5CEA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  <w:p w14:paraId="53EB3F8B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Posizionamento</w:t>
            </w:r>
            <w:proofErr w:type="spellEnd"/>
          </w:p>
          <w:p w14:paraId="02F19CBA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proofErr w:type="spellStart"/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livello</w:t>
            </w:r>
            <w:proofErr w:type="spellEnd"/>
          </w:p>
          <w:p w14:paraId="0A164E43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lang w:val="en-US"/>
              </w:rPr>
            </w:pPr>
            <w:r w:rsidRPr="00DB342A">
              <w:rPr>
                <w:rFonts w:ascii="Titillium Web" w:hAnsi="Titillium Web"/>
                <w:color w:val="000000"/>
                <w:lang w:val="en-US"/>
              </w:rPr>
              <w:t>(scala</w:t>
            </w:r>
            <w:r>
              <w:rPr>
                <w:rFonts w:ascii="Titillium Web" w:hAnsi="Titillium Web"/>
                <w:color w:val="000000"/>
                <w:lang w:val="en-US"/>
              </w:rPr>
              <w:t>: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 0 </w:t>
            </w:r>
            <w:r w:rsidRPr="005B2CC4">
              <w:rPr>
                <w:rFonts w:ascii="Titillium Web" w:hAnsi="Titillium Web"/>
                <w:color w:val="808080" w:themeColor="background1" w:themeShade="80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1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2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3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4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>)</w:t>
            </w:r>
          </w:p>
          <w:p w14:paraId="14C506C9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</w:tc>
      </w:tr>
      <w:tr w:rsidR="00BB0A9A" w:rsidRPr="00DB342A" w14:paraId="4CA0A7B8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11B78C52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  <w:p w14:paraId="498EEE9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0B65128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1</w:t>
            </w:r>
          </w:p>
          <w:p w14:paraId="3F843A1B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4EB5E3B7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Progettare e gestire situazioni</w:t>
            </w:r>
          </w:p>
          <w:p w14:paraId="32EDCF6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apprendimento</w:t>
            </w:r>
          </w:p>
          <w:p w14:paraId="6839854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che promuovano le otto competenze chiave europee per un apprendimento permanente, trasformando l</w:t>
            </w:r>
            <w:r>
              <w:rPr>
                <w:rFonts w:ascii="Titillium Web" w:hAnsi="Titillium Web"/>
                <w:b/>
                <w:color w:val="595959"/>
              </w:rPr>
              <w:t>’insegnamento</w:t>
            </w:r>
          </w:p>
          <w:p w14:paraId="01BB6BE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in esperienze significative</w:t>
            </w:r>
            <w:r>
              <w:rPr>
                <w:rFonts w:ascii="Titillium Web" w:hAnsi="Titillium Web"/>
                <w:b/>
                <w:color w:val="595959"/>
              </w:rPr>
              <w:t xml:space="preserve"> e critiche, anche attraverso l’</w:t>
            </w:r>
            <w:r w:rsidRPr="00F67501">
              <w:rPr>
                <w:rFonts w:ascii="Titillium Web" w:hAnsi="Titillium Web"/>
                <w:b/>
                <w:color w:val="595959"/>
              </w:rPr>
              <w:t>utilizzo di</w:t>
            </w:r>
            <w:r>
              <w:rPr>
                <w:rFonts w:ascii="Titillium Web" w:hAnsi="Titillium Web"/>
                <w:b/>
                <w:color w:val="595959"/>
              </w:rPr>
              <w:t xml:space="preserve"> strumenti digitali e didattici</w:t>
            </w:r>
          </w:p>
          <w:p w14:paraId="0E277F1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 xml:space="preserve">in presenza e a distanza, e </w:t>
            </w:r>
            <w:r>
              <w:rPr>
                <w:rFonts w:ascii="Titillium Web" w:hAnsi="Titillium Web"/>
                <w:b/>
                <w:color w:val="595959"/>
              </w:rPr>
              <w:t>utilizzando strumenti di lavoro</w:t>
            </w:r>
          </w:p>
          <w:p w14:paraId="1C429C9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per docu</w:t>
            </w:r>
            <w:r>
              <w:rPr>
                <w:rFonts w:ascii="Titillium Web" w:hAnsi="Titillium Web"/>
                <w:b/>
                <w:color w:val="595959"/>
              </w:rPr>
              <w:t>mentare, valutare e certificare</w:t>
            </w:r>
          </w:p>
          <w:p w14:paraId="427D85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le competenze person</w:t>
            </w:r>
            <w:r>
              <w:rPr>
                <w:rFonts w:ascii="Titillium Web" w:hAnsi="Titillium Web"/>
                <w:b/>
                <w:color w:val="595959"/>
              </w:rPr>
              <w:t xml:space="preserve">ali di </w:t>
            </w:r>
            <w:r w:rsidRPr="00F67501">
              <w:rPr>
                <w:rFonts w:ascii="Titillium Web" w:hAnsi="Titillium Web"/>
                <w:b/>
                <w:color w:val="595959"/>
              </w:rPr>
              <w:t>studenti</w:t>
            </w:r>
          </w:p>
          <w:p w14:paraId="647282C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  <w:r w:rsidRPr="00F67501">
              <w:rPr>
                <w:rFonts w:ascii="Titillium Web" w:hAnsi="Titillium Web"/>
                <w:b/>
                <w:color w:val="595959"/>
              </w:rPr>
              <w:t>, a</w:t>
            </w:r>
            <w:r>
              <w:rPr>
                <w:rFonts w:ascii="Titillium Web" w:hAnsi="Titillium Web"/>
                <w:b/>
                <w:color w:val="595959"/>
              </w:rPr>
              <w:t>nche</w:t>
            </w:r>
          </w:p>
          <w:p w14:paraId="180FCA0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prospettiva orientativa</w:t>
            </w:r>
          </w:p>
          <w:p w14:paraId="30C6888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703A92" w14:textId="77777777" w:rsidR="00BB0A9A" w:rsidRPr="00662D3B" w:rsidRDefault="00BB0A9A" w:rsidP="00C66CB0">
            <w:pPr>
              <w:spacing w:line="216" w:lineRule="auto"/>
              <w:ind w:left="28" w:right="28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B83CE3A" w14:textId="77777777" w:rsidR="00BB0A9A" w:rsidRPr="00662D3B" w:rsidRDefault="00BB0A9A" w:rsidP="00C66CB0">
            <w:pPr>
              <w:spacing w:line="192" w:lineRule="auto"/>
              <w:ind w:left="28" w:right="28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percorsi di apprendimento in coerenza con le indicazioni ministeriali e con i traguardi delle competenze previsti dal curricolo d’Istituto facendo particolare attenzione all’individualizzazione e alla personalizzazione dei percorsi.</w:t>
            </w:r>
          </w:p>
          <w:p w14:paraId="7A8B6314" w14:textId="77777777" w:rsidR="00BB0A9A" w:rsidRPr="00662D3B" w:rsidRDefault="00BB0A9A" w:rsidP="00C66CB0">
            <w:pPr>
              <w:spacing w:line="192" w:lineRule="auto"/>
              <w:ind w:left="28" w:right="26"/>
              <w:jc w:val="both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5064F891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13174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A4F1DE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3AFB8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69CFAD3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Integrare nella progettazione didattica i traguardi di competenza previsti dalla normativa per l’Educazione civica.</w:t>
            </w:r>
          </w:p>
          <w:p w14:paraId="5F346AD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8F3E131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01AACE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FD53B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F541041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003C98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Pianificare ed organizzare attività di orientamento formative.</w:t>
            </w:r>
          </w:p>
          <w:p w14:paraId="4F2168C9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FBDD17E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49CD86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73956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50F6CE9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BD20A39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Individualizzare e/o personalizzare i percorsi di apprendimento a se</w:t>
            </w:r>
            <w:r>
              <w:rPr>
                <w:rFonts w:ascii="Titillium Web" w:hAnsi="Titillium Web"/>
                <w:color w:val="000000" w:themeColor="text1"/>
              </w:rPr>
              <w:t xml:space="preserve">conda dei diversi bisogni di </w:t>
            </w:r>
            <w:r w:rsidRPr="00662D3B">
              <w:rPr>
                <w:rFonts w:ascii="Titillium Web" w:hAnsi="Titillium Web"/>
                <w:color w:val="000000" w:themeColor="text1"/>
              </w:rPr>
              <w:t>studenti</w:t>
            </w:r>
            <w:r>
              <w:rPr>
                <w:rFonts w:ascii="Titillium Web" w:hAnsi="Titillium Web"/>
                <w:color w:val="000000" w:themeColor="text1"/>
              </w:rPr>
              <w:t xml:space="preserve"> e studentesse </w:t>
            </w:r>
            <w:r w:rsidRPr="00662D3B">
              <w:rPr>
                <w:rFonts w:ascii="Titillium Web" w:hAnsi="Titillium Web"/>
                <w:color w:val="000000" w:themeColor="text1"/>
              </w:rPr>
              <w:t>adattando l’insegnamento e le attività in funzione delle differenze individuali e delle diverse modalità di apprendimento e degli obiettivi di apprendimento raggiunti dal gruppo-classe.</w:t>
            </w:r>
          </w:p>
          <w:p w14:paraId="43DF15E8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6058400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CB931C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025F5E8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5771A3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4AF686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Attuare l’insegnamento seguendo un piano organizzato e strutturato che associ contenuti a relativi obiettivi di apprendimento.</w:t>
            </w:r>
          </w:p>
          <w:p w14:paraId="084659F9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0DF64B73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C1763AA" w14:textId="77777777" w:rsidTr="00C66CB0">
        <w:trPr>
          <w:trHeight w:val="631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7B75F3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40CC4BC5" w14:textId="77777777" w:rsidR="00BB0A9A" w:rsidRPr="00C53BE1" w:rsidRDefault="00BB0A9A" w:rsidP="00C66CB0">
            <w:pPr>
              <w:spacing w:line="16" w:lineRule="atLeast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883A46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Gestire i tempi di svolgimento di un’attività di apprendimento e il passaggio tra un’attività e un’altra. </w:t>
            </w:r>
          </w:p>
          <w:p w14:paraId="6D46C31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4EB7CBEF" w14:textId="77777777" w:rsidR="00BB0A9A" w:rsidRPr="00FA1D5C" w:rsidRDefault="00BB0A9A" w:rsidP="00C66CB0">
            <w:pPr>
              <w:spacing w:line="16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40E1C3B" w14:textId="77777777" w:rsidTr="00C66CB0">
        <w:tc>
          <w:tcPr>
            <w:tcW w:w="2353" w:type="dxa"/>
            <w:vMerge/>
            <w:tcBorders>
              <w:bottom w:val="single" w:sz="12" w:space="0" w:color="A6A6A6" w:themeColor="background1" w:themeShade="A6"/>
            </w:tcBorders>
            <w:shd w:val="clear" w:color="auto" w:fill="B8CCE4" w:themeFill="accent1" w:themeFillTint="66"/>
            <w:vAlign w:val="center"/>
          </w:tcPr>
          <w:p w14:paraId="28577AC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F0DEE3F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  <w:p w14:paraId="1479CB7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mediatori didattici</w:t>
            </w:r>
            <w:r w:rsidRPr="005B2CC4">
              <w:rPr>
                <w:rStyle w:val="Rimandonotadichiusura"/>
                <w:rFonts w:ascii="Titillium Web" w:hAnsi="Titillium Web"/>
                <w:b/>
                <w:color w:val="000000" w:themeColor="text1"/>
                <w:lang w:val="en-US"/>
              </w:rPr>
              <w:endnoteReference w:id="1"/>
            </w:r>
            <w:r>
              <w:rPr>
                <w:rFonts w:ascii="Titillium Web" w:hAnsi="Titillium Web"/>
                <w:color w:val="000000" w:themeColor="text1"/>
              </w:rPr>
              <w:t xml:space="preserve">, </w:t>
            </w:r>
            <w:r w:rsidRPr="00662D3B">
              <w:rPr>
                <w:rFonts w:ascii="Titillium Web" w:hAnsi="Titillium Web"/>
                <w:color w:val="000000" w:themeColor="text1"/>
              </w:rPr>
              <w:t>tecnologie digitali, ambienti virtuali e approcci innovativi come strumenti compensativi quali azioni/strumenti di supporto all’insegnamento e alle attività didattiche.</w:t>
            </w:r>
          </w:p>
          <w:p w14:paraId="1F7E7EC0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  <w:tc>
          <w:tcPr>
            <w:tcW w:w="2100" w:type="dxa"/>
          </w:tcPr>
          <w:p w14:paraId="52D1574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6602B7E" w14:textId="77777777" w:rsidTr="00C66CB0">
        <w:trPr>
          <w:trHeight w:val="577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C5DCA50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</w:rPr>
            </w:pPr>
          </w:p>
          <w:p w14:paraId="652758D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31875093" w14:textId="77777777" w:rsidR="00BB0A9A" w:rsidRPr="00B847E6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2</w:t>
            </w:r>
          </w:p>
          <w:p w14:paraId="2F2ADA8A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1A0EB06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Adottare e adattare strategie e met</w:t>
            </w:r>
            <w:r>
              <w:rPr>
                <w:rFonts w:ascii="Titillium Web" w:hAnsi="Titillium Web"/>
                <w:b/>
                <w:color w:val="595959"/>
              </w:rPr>
              <w:t>odi didattici, compresi quelli personalizzati</w:t>
            </w:r>
          </w:p>
          <w:p w14:paraId="409167A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per l’inclusione</w:t>
            </w:r>
          </w:p>
          <w:p w14:paraId="254374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studenti</w:t>
            </w:r>
          </w:p>
          <w:p w14:paraId="27D44B8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</w:p>
          <w:p w14:paraId="1661A2C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con disabilità e bisogni educativi spe</w:t>
            </w:r>
            <w:r>
              <w:rPr>
                <w:rFonts w:ascii="Titillium Web" w:hAnsi="Titillium Web"/>
                <w:b/>
                <w:color w:val="595959"/>
              </w:rPr>
              <w:t xml:space="preserve">ciali, </w:t>
            </w:r>
            <w:r>
              <w:rPr>
                <w:rFonts w:ascii="Titillium Web" w:hAnsi="Titillium Web"/>
                <w:b/>
                <w:color w:val="595959"/>
              </w:rPr>
              <w:lastRenderedPageBreak/>
              <w:t>integrando epistemologie</w:t>
            </w:r>
          </w:p>
          <w:p w14:paraId="3AAD88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metodologie discipli</w:t>
            </w:r>
            <w:r>
              <w:rPr>
                <w:rFonts w:ascii="Titillium Web" w:hAnsi="Titillium Web"/>
                <w:b/>
                <w:color w:val="595959"/>
              </w:rPr>
              <w:t>nari</w:t>
            </w:r>
          </w:p>
          <w:p w14:paraId="2E5A6DCB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>
              <w:rPr>
                <w:rFonts w:ascii="Titillium Web" w:hAnsi="Titillium Web"/>
                <w:b/>
                <w:color w:val="595959"/>
              </w:rPr>
              <w:t>e interdisciplinari</w:t>
            </w:r>
          </w:p>
          <w:p w14:paraId="5E32CFAC" w14:textId="77777777" w:rsidR="00BB0A9A" w:rsidRPr="00AE6483" w:rsidRDefault="00BB0A9A" w:rsidP="00C66CB0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5328" w:type="dxa"/>
            <w:vAlign w:val="center"/>
          </w:tcPr>
          <w:p w14:paraId="5E55EBE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147BE6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Organizzare ambienti e spazi di apprendimento finalizzati all’implementazione di strategie per l’individualizzazione e la personalizzazione dei percorsi di apprendimento sia per far emergere i diversi talenti di studenti e studentesse sia per favorire l’inclusione di studenti e studentesse con BES, DSA o disabilità.</w:t>
            </w:r>
          </w:p>
          <w:p w14:paraId="58606C2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622F6B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D80CAE6" w14:textId="77777777" w:rsidTr="00C66CB0">
        <w:trPr>
          <w:trHeight w:val="827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714628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E9D4E0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33C6AEF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Alternare e variare i dispositivi e i materiali didattici all’interno del percorso didattico delle singole unità di apprendimento.</w:t>
            </w:r>
          </w:p>
          <w:p w14:paraId="6834214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32EEC82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4CECB6E" w14:textId="77777777" w:rsidTr="00C66CB0">
        <w:trPr>
          <w:trHeight w:val="493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0F4876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5FFBA7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544D2A5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Monitorare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>, revisionare e riprogettare le attività didattiche.</w:t>
            </w:r>
          </w:p>
          <w:p w14:paraId="2F5EBD8D" w14:textId="77777777" w:rsidR="00BB0A9A" w:rsidRPr="00E75F72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609A918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5510AC8" w14:textId="77777777" w:rsidTr="00C66CB0">
        <w:trPr>
          <w:trHeight w:val="1182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C5F027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3ED8DD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3</w:t>
            </w:r>
          </w:p>
          <w:p w14:paraId="5B66E39E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153709E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Adottare strategie</w:t>
            </w:r>
          </w:p>
          <w:p w14:paraId="7B84A7A7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metodi di valutazione per promuovere l’apprendimento</w:t>
            </w:r>
          </w:p>
          <w:p w14:paraId="2B20BAB7" w14:textId="77777777" w:rsidR="00BB0A9A" w:rsidRPr="00004DA1" w:rsidRDefault="00BB0A9A" w:rsidP="00C66CB0"/>
          <w:p w14:paraId="21A7BA80" w14:textId="77777777" w:rsidR="00BB0A9A" w:rsidRPr="00004DA1" w:rsidRDefault="00BB0A9A" w:rsidP="00C66CB0"/>
          <w:p w14:paraId="3AAA86EF" w14:textId="77777777" w:rsidR="00BB0A9A" w:rsidRPr="00004DA1" w:rsidRDefault="00BB0A9A" w:rsidP="00C66CB0"/>
        </w:tc>
        <w:tc>
          <w:tcPr>
            <w:tcW w:w="5328" w:type="dxa"/>
            <w:vAlign w:val="center"/>
          </w:tcPr>
          <w:p w14:paraId="3B074EC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2265D481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le attività di verifica che consentano di raccogliere evidenze coerenti con gli obiettivi definiti in partenza in termini di competenze sia disciplinari specifiche sia trasversali.</w:t>
            </w:r>
          </w:p>
          <w:p w14:paraId="379612C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135B6C2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56A1D4E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11762BE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933BC75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0D1BF81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Implementare strumenti di valutazione formativa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per monitorare i progressi di studenti e studentesse in relazione agli obiettivi didattici definiti in partenza.</w:t>
            </w:r>
          </w:p>
          <w:p w14:paraId="19AC8591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A8CCD0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74CDB6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971F345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38E64E0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48C0B1C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Variare e alternare prove di verifica di diversa tipologia.</w:t>
            </w:r>
          </w:p>
          <w:p w14:paraId="2371E9C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4233FA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83A1B3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A88F48D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31A96A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7E130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con chiarezza a studenti e studentesse fin dall’inizio sia gli obiettivi di apprendimento sia i criteri di valutazione delle prove di verifica che verranno somministrate.</w:t>
            </w:r>
          </w:p>
          <w:p w14:paraId="3B4BECAF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l’infanzia</w:t>
            </w:r>
            <w:r w:rsidRPr="00662D3B">
              <w:rPr>
                <w:rFonts w:ascii="Titillium Web" w:hAnsi="Titillium Web"/>
                <w:color w:val="000000" w:themeColor="text1"/>
              </w:rPr>
              <w:t>: esplicitare con chiarezza e con un linguaggio adeguato all’età di alunni ed alunne gli obiettivi delle attività proposte.</w:t>
            </w:r>
          </w:p>
          <w:p w14:paraId="6AC3C0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2B4414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B2495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831CFCA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69FD399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329670E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Assicurare a studenti e studentesse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feedback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formativi così da promuovere il miglioramento dei processi educativi e la crescita di </w:t>
            </w:r>
            <w:r w:rsidRPr="00E34D40">
              <w:rPr>
                <w:rFonts w:ascii="Titillium Web" w:hAnsi="Titillium Web"/>
                <w:color w:val="000000" w:themeColor="text1"/>
              </w:rPr>
              <w:t>ognuno/a</w:t>
            </w:r>
            <w:r w:rsidRPr="00662D3B">
              <w:rPr>
                <w:rFonts w:ascii="Titillium Web" w:hAnsi="Titillium Web"/>
                <w:color w:val="000000" w:themeColor="text1"/>
              </w:rPr>
              <w:t>.</w:t>
            </w:r>
          </w:p>
          <w:p w14:paraId="50771A9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4444C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B4C954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5594F38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4E506CF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4</w:t>
            </w:r>
          </w:p>
          <w:p w14:paraId="7E724761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01293EC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Gestire relazioni</w:t>
            </w:r>
          </w:p>
          <w:p w14:paraId="265A8A4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comport</w:t>
            </w:r>
            <w:r>
              <w:rPr>
                <w:rFonts w:ascii="Titillium Web" w:hAnsi="Titillium Web"/>
                <w:b/>
                <w:color w:val="595959"/>
              </w:rPr>
              <w:t>amenti</w:t>
            </w:r>
          </w:p>
          <w:p w14:paraId="7A767BE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classe per favorire l’</w:t>
            </w:r>
            <w:r w:rsidRPr="008C491D">
              <w:rPr>
                <w:rFonts w:ascii="Titillium Web" w:hAnsi="Titillium Web"/>
                <w:b/>
                <w:color w:val="595959"/>
              </w:rPr>
              <w:t>ap</w:t>
            </w:r>
            <w:r>
              <w:rPr>
                <w:rFonts w:ascii="Titillium Web" w:hAnsi="Titillium Web"/>
                <w:b/>
                <w:color w:val="595959"/>
              </w:rPr>
              <w:t>prendimento</w:t>
            </w:r>
          </w:p>
          <w:p w14:paraId="2E7D7E7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un clima disteso</w:t>
            </w:r>
          </w:p>
          <w:p w14:paraId="1F6A70FB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collaborativo</w:t>
            </w:r>
          </w:p>
          <w:p w14:paraId="517D126B" w14:textId="77777777" w:rsidR="00BB0A9A" w:rsidRDefault="00BB0A9A" w:rsidP="00C66CB0">
            <w:pPr>
              <w:rPr>
                <w:rFonts w:ascii="Titillium Web" w:hAnsi="Titillium Web"/>
                <w:color w:val="000000"/>
              </w:rPr>
            </w:pPr>
          </w:p>
          <w:p w14:paraId="4638666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</w:p>
        </w:tc>
        <w:tc>
          <w:tcPr>
            <w:tcW w:w="5328" w:type="dxa"/>
            <w:vAlign w:val="center"/>
          </w:tcPr>
          <w:p w14:paraId="7CBDDEA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1B1386F6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Promuovere in studenti e studentesse l’apprendimento collaborativo e/o cooperativo.</w:t>
            </w:r>
          </w:p>
          <w:p w14:paraId="572D3A32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7D1E7E28" w14:textId="77777777" w:rsidR="00BB0A9A" w:rsidRPr="00FC0800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15DAB74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A316CD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C9C3C08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0B7F8AB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6CCB8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Implementare attività di apprendimento autonomo e di studio autoregolato.</w:t>
            </w:r>
          </w:p>
          <w:p w14:paraId="57526B8F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0FF5224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7582A9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528520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6E0016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6AA1C57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Individuare e condividere regole di comportamento e forme di comunicazione che tengano conto delle diversità e facilitino il superamento di eventuali situazioni problematiche.</w:t>
            </w:r>
          </w:p>
          <w:p w14:paraId="5B2187A0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305CE8B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622A318" w14:textId="77777777" w:rsidTr="00C66CB0">
        <w:trPr>
          <w:trHeight w:val="1329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C66BD9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C8448D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9EBF530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Sostenere l’autostima di ogni studente e studentessa e favorirne (anche quando membro di un gruppo) la percezione di autoefficacia valorizzando il suo contributo e l’impegno profuso.</w:t>
            </w:r>
          </w:p>
          <w:p w14:paraId="4C2A2766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083662A7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2973580B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49055A6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D69713D" w14:textId="77777777" w:rsidR="00BB0A9A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  <w:p w14:paraId="012A12DF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26D7230C" w14:textId="77777777" w:rsidR="00BB0A9A" w:rsidRDefault="00BB0A9A" w:rsidP="00BB0A9A"/>
    <w:p w14:paraId="07B619CA" w14:textId="71726896" w:rsidR="00BB0A9A" w:rsidRDefault="00BB0A9A" w:rsidP="00BB0A9A">
      <w:r>
        <w:br w:type="page"/>
      </w:r>
    </w:p>
    <w:p w14:paraId="4D23343C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49C1B628" w14:textId="77777777" w:rsidTr="00C66CB0">
        <w:tc>
          <w:tcPr>
            <w:tcW w:w="9781" w:type="dxa"/>
            <w:gridSpan w:val="3"/>
            <w:tcBorders>
              <w:top w:val="single" w:sz="12" w:space="0" w:color="A6A6A6"/>
            </w:tcBorders>
            <w:shd w:val="clear" w:color="auto" w:fill="95B3D7" w:themeFill="accent1" w:themeFillTint="99"/>
            <w:vAlign w:val="center"/>
          </w:tcPr>
          <w:p w14:paraId="14B2F5BA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8"/>
                <w:szCs w:val="8"/>
              </w:rPr>
            </w:pPr>
          </w:p>
          <w:p w14:paraId="3089A235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B - ISTITUZIONE-COMUNITÀ</w:t>
            </w:r>
          </w:p>
          <w:p w14:paraId="2B20A997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t>Area delle competenze relative alla partecipazione alla vita della scuola e del contesto sociale</w:t>
            </w:r>
          </w:p>
          <w:p w14:paraId="1F16D3A2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</w:tr>
      <w:tr w:rsidR="00BB0A9A" w:rsidRPr="00DB342A" w14:paraId="40228880" w14:textId="77777777" w:rsidTr="00C66CB0">
        <w:trPr>
          <w:trHeight w:val="736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776013D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751A396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5</w:t>
            </w:r>
          </w:p>
          <w:p w14:paraId="0A1A1A9D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267BB10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Partecipare attivamente all’</w:t>
            </w:r>
            <w:r w:rsidRPr="008C491D">
              <w:rPr>
                <w:rFonts w:ascii="Titillium Web" w:hAnsi="Titillium Web"/>
                <w:b/>
                <w:color w:val="595959"/>
              </w:rPr>
              <w:t>esperienza professionale org</w:t>
            </w:r>
            <w:r>
              <w:rPr>
                <w:rFonts w:ascii="Titillium Web" w:hAnsi="Titillium Web"/>
                <w:b/>
                <w:color w:val="595959"/>
              </w:rPr>
              <w:t>anizzata a scuola, comprendendo</w:t>
            </w:r>
          </w:p>
          <w:p w14:paraId="724267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applicando funzioni</w:t>
            </w:r>
          </w:p>
          <w:p w14:paraId="7889882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mod</w:t>
            </w:r>
            <w:r>
              <w:rPr>
                <w:rFonts w:ascii="Titillium Web" w:hAnsi="Titillium Web"/>
                <w:b/>
                <w:color w:val="595959"/>
              </w:rPr>
              <w:t>alità</w:t>
            </w:r>
          </w:p>
          <w:p w14:paraId="4F39BE6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della valutazione interna</w:t>
            </w:r>
          </w:p>
          <w:p w14:paraId="754A34B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ed esterna</w:t>
            </w:r>
          </w:p>
          <w:p w14:paraId="3AD5D66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degli app</w:t>
            </w:r>
            <w:r>
              <w:rPr>
                <w:rFonts w:ascii="Titillium Web" w:hAnsi="Titillium Web"/>
                <w:b/>
                <w:color w:val="595959"/>
              </w:rPr>
              <w:t>rendimenti formali, non formali</w:t>
            </w:r>
          </w:p>
          <w:p w14:paraId="3890146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informali</w:t>
            </w:r>
          </w:p>
        </w:tc>
        <w:tc>
          <w:tcPr>
            <w:tcW w:w="5328" w:type="dxa"/>
            <w:vAlign w:val="center"/>
          </w:tcPr>
          <w:p w14:paraId="0A6B701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6B8C0F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Conoscere il funzionamento dell’organizzazione della scuola e il contesto socioculturale ed economico in cui essa agisce.</w:t>
            </w:r>
          </w:p>
          <w:p w14:paraId="08CF483B" w14:textId="77777777" w:rsidR="00BB0A9A" w:rsidRPr="004A237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312AF0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ED0ED0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F977FB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7DB779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9885EB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FA71B93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alla realizzazione delle iniziative educative deliberate e organizzate dalla scuola e/o proporne di nuove.</w:t>
            </w:r>
          </w:p>
          <w:p w14:paraId="58D9C8F7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35FFA18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2AE4337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F382A4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20BC31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47E58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93D514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attivamente all’organizzazione e alla gestione della scuola, lavorando in sinergia con il/la Dirigente e in collaborazione con il personale scolastico.</w:t>
            </w:r>
          </w:p>
          <w:p w14:paraId="2063AD1E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2AF524B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198DC7D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DE61999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BB59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65292F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8DC12F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di studenti e studentesse alla vita organizzativa della scuola tenendo conto dell’età e delle inclinazioni di ognuno/a oltreché del contesto socioculturale e territoriale in cui la scuola agisce.</w:t>
            </w:r>
          </w:p>
          <w:p w14:paraId="3DD1AC9C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l‘infanzia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: favorire la partecipazione di bambini e bambine alle attività scolastiche legate alle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routine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quotidiane, tenendo conto dell’età, delle inclinazioni di ognuno/a oltreché del contesto socioculturale e territoriale in cui la scuola agisce.</w:t>
            </w:r>
          </w:p>
          <w:p w14:paraId="2FD7ACB2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0009023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74A6610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DBCEDD1" w14:textId="77777777" w:rsidTr="00C66CB0">
        <w:trPr>
          <w:trHeight w:val="671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F70DD0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7DBEBD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6</w:t>
            </w:r>
          </w:p>
          <w:p w14:paraId="2AF4A8F3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07022B14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Lavorare in modo collaborativo</w:t>
            </w:r>
          </w:p>
          <w:p w14:paraId="793B459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comunità professionale</w:t>
            </w:r>
          </w:p>
          <w:p w14:paraId="71EA0CA5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della scuola</w:t>
            </w:r>
          </w:p>
        </w:tc>
        <w:tc>
          <w:tcPr>
            <w:tcW w:w="5328" w:type="dxa"/>
            <w:vAlign w:val="center"/>
          </w:tcPr>
          <w:p w14:paraId="3AF3FEC4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D81838A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Collaborare alla creazione di gruppi di lavoro tra docenti e/o prendervi attivamente parte.</w:t>
            </w:r>
          </w:p>
          <w:p w14:paraId="2CA012E9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4023CF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4E91A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E9CDAD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3FC5494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24569B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BF64570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Coinvolgere in modo attivo altre figure presenti nella comunità educante.</w:t>
            </w:r>
          </w:p>
          <w:p w14:paraId="71D2A1F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  </w:t>
            </w:r>
          </w:p>
        </w:tc>
        <w:tc>
          <w:tcPr>
            <w:tcW w:w="2100" w:type="dxa"/>
            <w:vAlign w:val="center"/>
          </w:tcPr>
          <w:p w14:paraId="389D88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7EDA72F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83C218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3B9ECB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0EBABB5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Condividere gli aspetti dei processi di insegnamento-apprendimento all’interno del team/Consiglio di Classe o del dipartimento anche in un’ottica di verticalità fra gli ordini di scuola.</w:t>
            </w:r>
          </w:p>
          <w:p w14:paraId="2CB2AFE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1432C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FBE1C2C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03337F3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69A3D28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7</w:t>
            </w:r>
          </w:p>
          <w:p w14:paraId="4CD00FFC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650214F4" w14:textId="77777777" w:rsidR="00BB0A9A" w:rsidRPr="005A7853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Instaurare rapp</w:t>
            </w:r>
            <w:r>
              <w:rPr>
                <w:rFonts w:ascii="Titillium Web" w:hAnsi="Titillium Web"/>
                <w:b/>
                <w:color w:val="595959"/>
              </w:rPr>
              <w:t xml:space="preserve">orti positivi con i famigliari </w:t>
            </w:r>
            <w:r w:rsidRPr="005A7853">
              <w:rPr>
                <w:rFonts w:ascii="Titillium Web" w:hAnsi="Titillium Web"/>
                <w:b/>
                <w:color w:val="595959"/>
              </w:rPr>
              <w:t xml:space="preserve">di studenti </w:t>
            </w:r>
          </w:p>
          <w:p w14:paraId="1BEACFC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5A7853">
              <w:rPr>
                <w:rFonts w:ascii="Titillium Web" w:hAnsi="Titillium Web"/>
                <w:b/>
                <w:color w:val="595959"/>
              </w:rPr>
              <w:t>e studentesse e con</w:t>
            </w:r>
          </w:p>
          <w:p w14:paraId="1A30BCF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 partner istituzionali</w:t>
            </w:r>
          </w:p>
          <w:p w14:paraId="5ACD01E7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sociali</w:t>
            </w:r>
          </w:p>
        </w:tc>
        <w:tc>
          <w:tcPr>
            <w:tcW w:w="5328" w:type="dxa"/>
            <w:vAlign w:val="center"/>
          </w:tcPr>
          <w:p w14:paraId="05CED60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6AF5C5F3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dei famigliari di studenti e studentesse alla vita organizzativa della scuola.</w:t>
            </w:r>
          </w:p>
          <w:p w14:paraId="71B7DB5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56646F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39B783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B4B89A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BED3C1E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27F9F5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ai famigliari di studenti e studentesse obiettivi didattici attesi/raggiunti, strategie di intervento ipotizzate/attuate, criteri di valutazione ed esiti finali conseguiti.</w:t>
            </w:r>
          </w:p>
          <w:p w14:paraId="43ACE22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A6DBEB3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AA3CD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441F84E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1DF886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4780968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2B1AD0D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Cooperare con altre figure professionali coinvolte a vario titolo nei processi di apprendimento e di sviluppo di studenti e studentesse.</w:t>
            </w:r>
          </w:p>
          <w:p w14:paraId="3EC9C8BA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26698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85CBD5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7ED3981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42C4008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7456074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Contribuire allo sviluppo e alla gestione delle relazioni con i diversi interlocutori (enti locali, imprese, associazioni, fondazioni, università, organizzazioni della società civile e del terzo settore, ecc.).</w:t>
            </w:r>
          </w:p>
          <w:p w14:paraId="0FC993D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8"/>
                <w:szCs w:val="16"/>
              </w:rPr>
            </w:pPr>
          </w:p>
          <w:p w14:paraId="433941CC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69E0CC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087F3F7B" w14:textId="478CE815" w:rsidR="00BB0A9A" w:rsidRDefault="00BB0A9A" w:rsidP="00BB0A9A">
      <w:r>
        <w:br w:type="page"/>
      </w:r>
    </w:p>
    <w:p w14:paraId="03B05077" w14:textId="77777777" w:rsidR="00BB0A9A" w:rsidRPr="00BB0A9A" w:rsidRDefault="00BB0A9A" w:rsidP="00BB0A9A"/>
    <w:sectPr w:rsidR="00BB0A9A" w:rsidRPr="00BB0A9A" w:rsidSect="0039751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endnotePr>
        <w:numFmt w:val="decimal"/>
      </w:endnotePr>
      <w:pgSz w:w="11900" w:h="16840"/>
      <w:pgMar w:top="1417" w:right="1134" w:bottom="1134" w:left="1134" w:header="708" w:footer="9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92AE2B" w14:textId="77777777" w:rsidR="00EF19AC" w:rsidRDefault="00EF19AC" w:rsidP="00362FDE">
      <w:r>
        <w:separator/>
      </w:r>
    </w:p>
  </w:endnote>
  <w:endnote w:type="continuationSeparator" w:id="0">
    <w:p w14:paraId="64E86F50" w14:textId="77777777" w:rsidR="00EF19AC" w:rsidRDefault="00EF19AC" w:rsidP="00362FDE">
      <w:r>
        <w:continuationSeparator/>
      </w:r>
    </w:p>
  </w:endnote>
  <w:endnote w:id="1">
    <w:tbl>
      <w:tblPr>
        <w:tblStyle w:val="Grigliatabella1"/>
        <w:tblOverlap w:val="never"/>
        <w:tblW w:w="9781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662D3B" w14:paraId="79BF68CF" w14:textId="77777777" w:rsidTr="00C66CB0">
        <w:tc>
          <w:tcPr>
            <w:tcW w:w="9781" w:type="dxa"/>
            <w:gridSpan w:val="3"/>
            <w:shd w:val="clear" w:color="auto" w:fill="95B3D7" w:themeFill="accent1" w:themeFillTint="99"/>
            <w:vAlign w:val="center"/>
          </w:tcPr>
          <w:p w14:paraId="33BB3BFA" w14:textId="77777777" w:rsidR="00BB0A9A" w:rsidRPr="00662D3B" w:rsidRDefault="00BB0A9A" w:rsidP="00BB0A9A">
            <w:pPr>
              <w:ind w:left="-113" w:right="-11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</w:rPr>
            </w:pPr>
          </w:p>
          <w:p w14:paraId="30F8C821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</w:pPr>
            <w:r w:rsidRPr="00662D3B"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  <w:t>C - PROFESSIONE</w:t>
            </w:r>
          </w:p>
          <w:p w14:paraId="53225974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i/>
                <w:color w:val="000000" w:themeColor="text1"/>
              </w:rPr>
            </w:pPr>
            <w:r w:rsidRPr="00662D3B">
              <w:rPr>
                <w:rFonts w:ascii="Titillium Web" w:hAnsi="Titillium Web"/>
                <w:b/>
                <w:i/>
                <w:color w:val="000000" w:themeColor="text1"/>
              </w:rPr>
              <w:t>Area della formazione continua, della cura della professionalità e dello sviluppo di nuove responsabilità</w:t>
            </w:r>
          </w:p>
          <w:p w14:paraId="67CE8B35" w14:textId="77777777" w:rsidR="00BB0A9A" w:rsidRPr="00662D3B" w:rsidRDefault="00BB0A9A" w:rsidP="00BB0A9A">
            <w:pPr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</w:tr>
      <w:tr w:rsidR="00BB0A9A" w:rsidRPr="00FA1D5C" w14:paraId="03D26A92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3F24D75E" w14:textId="77777777" w:rsidR="00BB0A9A" w:rsidRPr="0013186D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</w:p>
          <w:p w14:paraId="036708E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32"/>
                <w:szCs w:val="32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22CCE13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8</w:t>
            </w:r>
          </w:p>
          <w:p w14:paraId="28E86195" w14:textId="77777777" w:rsidR="00BB0A9A" w:rsidRPr="0066391D" w:rsidRDefault="00BB0A9A" w:rsidP="00BB0A9A">
            <w:pPr>
              <w:spacing w:line="216" w:lineRule="auto"/>
              <w:suppressOverlap/>
              <w:jc w:val="center"/>
              <w:rPr>
                <w:color w:val="595959"/>
                <w:sz w:val="8"/>
                <w:szCs w:val="8"/>
              </w:rPr>
            </w:pPr>
          </w:p>
          <w:p w14:paraId="75F454DC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Impeg</w:t>
            </w:r>
            <w:r>
              <w:rPr>
                <w:rFonts w:ascii="Titillium Web" w:hAnsi="Titillium Web"/>
                <w:b/>
                <w:color w:val="595959"/>
              </w:rPr>
              <w:t>narsi</w:t>
            </w:r>
          </w:p>
          <w:p w14:paraId="396883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nella formazione continua</w:t>
            </w:r>
          </w:p>
          <w:p w14:paraId="79999B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nello sviluppo professionale, integran</w:t>
            </w:r>
            <w:r>
              <w:rPr>
                <w:rFonts w:ascii="Titillium Web" w:hAnsi="Titillium Web"/>
                <w:b/>
                <w:color w:val="595959"/>
              </w:rPr>
              <w:t>do i nuclei basilari dei saperi</w:t>
            </w:r>
          </w:p>
          <w:p w14:paraId="14FF8680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della didattica speci</w:t>
            </w:r>
            <w:r>
              <w:rPr>
                <w:rFonts w:ascii="Titillium Web" w:hAnsi="Titillium Web"/>
                <w:b/>
                <w:color w:val="595959"/>
              </w:rPr>
              <w:t>fici per i propri insegnamenti,</w:t>
            </w:r>
          </w:p>
          <w:p w14:paraId="29D7A75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capacità</w:t>
            </w:r>
          </w:p>
          <w:p w14:paraId="513C1324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di progettare didatticamente e gestire con flessib</w:t>
            </w:r>
            <w:r>
              <w:rPr>
                <w:rFonts w:ascii="Titillium Web" w:hAnsi="Titillium Web"/>
                <w:b/>
                <w:color w:val="595959"/>
              </w:rPr>
              <w:t xml:space="preserve">ilità </w:t>
            </w:r>
            <w:r w:rsidRPr="005A7853">
              <w:rPr>
                <w:rFonts w:ascii="Titillium Web" w:hAnsi="Titillium Web"/>
                <w:b/>
                <w:color w:val="595959"/>
              </w:rPr>
              <w:t>gruppi-classe</w:t>
            </w:r>
            <w:r>
              <w:rPr>
                <w:rFonts w:ascii="Titillium Web" w:hAnsi="Titillium Web"/>
                <w:b/>
                <w:color w:val="595959"/>
              </w:rPr>
              <w:t>/interclasse</w:t>
            </w:r>
          </w:p>
          <w:p w14:paraId="08B7380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per la per</w:t>
            </w:r>
            <w:r>
              <w:rPr>
                <w:rFonts w:ascii="Titillium Web" w:hAnsi="Titillium Web"/>
                <w:b/>
                <w:color w:val="595959"/>
              </w:rPr>
              <w:t>sonalizzazione e valorizzazione</w:t>
            </w:r>
          </w:p>
          <w:p w14:paraId="77EE1AB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dei talenti e lo svi</w:t>
            </w:r>
            <w:r>
              <w:rPr>
                <w:rFonts w:ascii="Titillium Web" w:hAnsi="Titillium Web"/>
                <w:b/>
                <w:color w:val="595959"/>
              </w:rPr>
              <w:t>luppo di competenze trasversali</w:t>
            </w:r>
          </w:p>
          <w:p w14:paraId="0484EAE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comunicative</w:t>
            </w:r>
          </w:p>
          <w:p w14:paraId="7A356255" w14:textId="77777777" w:rsidR="00BB0A9A" w:rsidRDefault="00BB0A9A" w:rsidP="00BB0A9A">
            <w:pPr>
              <w:spacing w:line="216" w:lineRule="auto"/>
              <w:suppressOverlap/>
              <w:rPr>
                <w:rFonts w:ascii="Titillium Web" w:hAnsi="Titillium Web"/>
                <w:b/>
                <w:color w:val="595959"/>
              </w:rPr>
            </w:pPr>
          </w:p>
          <w:p w14:paraId="6D0A47B8" w14:textId="77777777" w:rsidR="00BB0A9A" w:rsidRPr="000235D7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</w:tc>
        <w:tc>
          <w:tcPr>
            <w:tcW w:w="5328" w:type="dxa"/>
            <w:vAlign w:val="center"/>
          </w:tcPr>
          <w:p w14:paraId="3E6E4CF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288B619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periodicamente ad attività di formazione e di aggiornamento.</w:t>
            </w:r>
          </w:p>
          <w:p w14:paraId="062BD119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5A016D7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606DC8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A4F16D1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72B171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1B225614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fonti culturali diverse per potenziare conoscenze e competenze di insegnamento.</w:t>
            </w:r>
          </w:p>
          <w:p w14:paraId="0F4D0CF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19F829F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D6AE5B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EBE7BC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C9E75E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61EE4A3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Attivare collaborazioni professionalizzanti tra colleghi/e della propria scuola o di altre istituzioni educative nazionali ed internazionali.</w:t>
            </w:r>
          </w:p>
          <w:p w14:paraId="6A35E507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30A0370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5D2063F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FAD0A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9247615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76D2D96B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le esperienze di crescita professionale per riprogettare l’azione didattica.</w:t>
            </w:r>
          </w:p>
          <w:p w14:paraId="11EBDD41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2093B200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1AA5007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EA8F7B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335002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5353A09F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Adottare metodologie e prassi frutto della ricerca educativa o derivanti dallo sviluppo di conoscenze e competenze acquisite nel proprio ambito professionale e d’insegnamento.</w:t>
            </w:r>
          </w:p>
          <w:p w14:paraId="4A45E67A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76A7B3A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AD54A1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710930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</w:tcPr>
          <w:p w14:paraId="61E44DC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E89936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Monitorare con metodicità il proprio sviluppo professionale in un’ottica di formazione continua.</w:t>
            </w:r>
          </w:p>
          <w:p w14:paraId="4EE8BFC4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5211AAE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39D79E65" w14:textId="77777777" w:rsidR="00BB0A9A" w:rsidRPr="0013186D" w:rsidRDefault="00BB0A9A" w:rsidP="00BB0A9A">
      <w:pPr>
        <w:pStyle w:val="Testonotadichiusura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63C751" w14:textId="77777777" w:rsidR="00CF20FE" w:rsidRDefault="00CF20F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4B39D9" w14:textId="3E22584B" w:rsidR="00362FDE" w:rsidRDefault="00E47B76">
    <w:pPr>
      <w:pStyle w:val="Pidipagina"/>
    </w:pPr>
    <w:r>
      <w:rPr>
        <w:noProof/>
      </w:rPr>
      <w:drawing>
        <wp:anchor distT="0" distB="0" distL="114300" distR="114300" simplePos="0" relativeHeight="251655680" behindDoc="1" locked="0" layoutInCell="1" allowOverlap="1" wp14:anchorId="71DEE55A" wp14:editId="0E98D709">
          <wp:simplePos x="0" y="0"/>
          <wp:positionH relativeFrom="margin">
            <wp:align>center</wp:align>
          </wp:positionH>
          <wp:positionV relativeFrom="paragraph">
            <wp:posOffset>-167185</wp:posOffset>
          </wp:positionV>
          <wp:extent cx="6538606" cy="922836"/>
          <wp:effectExtent l="0" t="0" r="1905" b="4445"/>
          <wp:wrapNone/>
          <wp:docPr id="25" name="Immagin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magine 2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538606" cy="92283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2F4C08" w14:textId="7634EA11" w:rsidR="0039751F" w:rsidRDefault="0039751F">
    <w:pPr>
      <w:pStyle w:val="Pidipagina"/>
    </w:pPr>
    <w:r>
      <w:rPr>
        <w:noProof/>
      </w:rPr>
      <w:drawing>
        <wp:anchor distT="0" distB="0" distL="114300" distR="114300" simplePos="0" relativeHeight="251656704" behindDoc="1" locked="0" layoutInCell="1" allowOverlap="1" wp14:anchorId="0E67BD0A" wp14:editId="2F876D64">
          <wp:simplePos x="0" y="0"/>
          <wp:positionH relativeFrom="margin">
            <wp:align>center</wp:align>
          </wp:positionH>
          <wp:positionV relativeFrom="paragraph">
            <wp:posOffset>-175895</wp:posOffset>
          </wp:positionV>
          <wp:extent cx="6116320" cy="864235"/>
          <wp:effectExtent l="0" t="0" r="5080" b="0"/>
          <wp:wrapNone/>
          <wp:docPr id="124751184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7511841" name="Immagine 124751184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864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68D33E" w14:textId="77777777" w:rsidR="00EF19AC" w:rsidRDefault="00EF19AC" w:rsidP="00362FDE">
      <w:r>
        <w:separator/>
      </w:r>
    </w:p>
  </w:footnote>
  <w:footnote w:type="continuationSeparator" w:id="0">
    <w:p w14:paraId="1BAB5A63" w14:textId="77777777" w:rsidR="00EF19AC" w:rsidRDefault="00EF19AC" w:rsidP="00362F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C7E563" w14:textId="77777777" w:rsidR="00362FDE" w:rsidRDefault="00000000">
    <w:pPr>
      <w:pStyle w:val="Intestazione"/>
    </w:pPr>
    <w:r>
      <w:rPr>
        <w:noProof/>
      </w:rPr>
      <w:pict w14:anchorId="4A5AD3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" style="position:absolute;margin-left:0;margin-top:0;width:488.1pt;height:788.1pt;z-index:-251656704;mso-wrap-edited:f;mso-width-percent:0;mso-height-percent:0;mso-position-horizontal:center;mso-position-horizontal-relative:margin;mso-position-vertical:center;mso-position-vertical-relative:margin;mso-width-percent:0;mso-height-percent:0" wrapcoords="-33 0 -33 21558 21600 21558 21600 0 -33 0">
          <v:imagedata r:id="rId1" o:title="bilancio_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1BF95" w14:textId="46A20F76" w:rsidR="00362FDE" w:rsidRDefault="00B279B3">
    <w:pPr>
      <w:pStyle w:val="Intestazion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08499E55" wp14:editId="056B62E8">
          <wp:simplePos x="0" y="0"/>
          <wp:positionH relativeFrom="margin">
            <wp:posOffset>-137341</wp:posOffset>
          </wp:positionH>
          <wp:positionV relativeFrom="paragraph">
            <wp:posOffset>-449580</wp:posOffset>
          </wp:positionV>
          <wp:extent cx="6617970" cy="947420"/>
          <wp:effectExtent l="0" t="0" r="0" b="5080"/>
          <wp:wrapNone/>
          <wp:docPr id="203806537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61BA30" w14:textId="7E9B600F" w:rsidR="00362FDE" w:rsidRDefault="00CF20FE">
    <w:pPr>
      <w:pStyle w:val="Intestazion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29C12593" wp14:editId="27AB7AA0">
          <wp:simplePos x="0" y="0"/>
          <wp:positionH relativeFrom="margin">
            <wp:align>center</wp:align>
          </wp:positionH>
          <wp:positionV relativeFrom="paragraph">
            <wp:posOffset>-419735</wp:posOffset>
          </wp:positionV>
          <wp:extent cx="6617970" cy="947420"/>
          <wp:effectExtent l="0" t="0" r="0" b="5080"/>
          <wp:wrapNone/>
          <wp:docPr id="51023448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E858BB"/>
    <w:multiLevelType w:val="hybridMultilevel"/>
    <w:tmpl w:val="7E8E94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41012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2FDE"/>
    <w:rsid w:val="000C69D2"/>
    <w:rsid w:val="001406A7"/>
    <w:rsid w:val="00181CB0"/>
    <w:rsid w:val="001C1AF9"/>
    <w:rsid w:val="001E1305"/>
    <w:rsid w:val="00205D56"/>
    <w:rsid w:val="00362FDE"/>
    <w:rsid w:val="00393F38"/>
    <w:rsid w:val="0039751F"/>
    <w:rsid w:val="003C0AA0"/>
    <w:rsid w:val="004A4C77"/>
    <w:rsid w:val="004F0283"/>
    <w:rsid w:val="004F36E3"/>
    <w:rsid w:val="005B42B1"/>
    <w:rsid w:val="00622735"/>
    <w:rsid w:val="0064140D"/>
    <w:rsid w:val="0066154E"/>
    <w:rsid w:val="00696A31"/>
    <w:rsid w:val="006F2D9D"/>
    <w:rsid w:val="007B522B"/>
    <w:rsid w:val="008D319F"/>
    <w:rsid w:val="00937E60"/>
    <w:rsid w:val="009F4442"/>
    <w:rsid w:val="00A077E9"/>
    <w:rsid w:val="00B279B3"/>
    <w:rsid w:val="00B36815"/>
    <w:rsid w:val="00B847AD"/>
    <w:rsid w:val="00BB0A9A"/>
    <w:rsid w:val="00BD6850"/>
    <w:rsid w:val="00BE425B"/>
    <w:rsid w:val="00C87DFE"/>
    <w:rsid w:val="00CF20FE"/>
    <w:rsid w:val="00D86B53"/>
    <w:rsid w:val="00DB342A"/>
    <w:rsid w:val="00DF454C"/>
    <w:rsid w:val="00E47B76"/>
    <w:rsid w:val="00E7454E"/>
    <w:rsid w:val="00EF19AC"/>
    <w:rsid w:val="00EF77EF"/>
    <w:rsid w:val="00F27DDF"/>
    <w:rsid w:val="00FA7BE3"/>
    <w:rsid w:val="00FD7CBB"/>
    <w:rsid w:val="00FF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B7BCD79"/>
  <w14:defaultImageDpi w14:val="300"/>
  <w15:docId w15:val="{77458598-A082-41B9-A3AB-35BCC7383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62FDE"/>
  </w:style>
  <w:style w:type="paragraph" w:styleId="Pidipagina">
    <w:name w:val="footer"/>
    <w:basedOn w:val="Normale"/>
    <w:link w:val="Pidipagina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62FDE"/>
  </w:style>
  <w:style w:type="table" w:styleId="Grigliatabella">
    <w:name w:val="Table Grid"/>
    <w:basedOn w:val="Tabellanormale"/>
    <w:uiPriority w:val="39"/>
    <w:rsid w:val="008D319F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stonotadichiusura">
    <w:name w:val="endnote text"/>
    <w:basedOn w:val="Normale"/>
    <w:link w:val="TestonotadichiusuraCarattere"/>
    <w:uiPriority w:val="99"/>
    <w:unhideWhenUsed/>
    <w:rsid w:val="00DB342A"/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DB342A"/>
    <w:rPr>
      <w:sz w:val="20"/>
      <w:szCs w:val="20"/>
    </w:rPr>
  </w:style>
  <w:style w:type="table" w:customStyle="1" w:styleId="Grigliatabella1">
    <w:name w:val="Griglia tabella1"/>
    <w:basedOn w:val="Tabellanormale"/>
    <w:next w:val="Grigliatabella"/>
    <w:uiPriority w:val="39"/>
    <w:rsid w:val="00DB342A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Rimandonotadichiusura">
    <w:name w:val="endnote reference"/>
    <w:basedOn w:val="Carpredefinitoparagrafo"/>
    <w:uiPriority w:val="99"/>
    <w:semiHidden/>
    <w:unhideWhenUsed/>
    <w:rsid w:val="00DB34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40ba01-8984-43ef-9c48-57dd13317510" xsi:nil="true"/>
    <lcf76f155ced4ddcb4097134ff3c332f xmlns="65f3d0ed-a517-4cc2-8d85-3f3b0f89f38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85AB7F3EB30B54988EC6A633916B1EA" ma:contentTypeVersion="14" ma:contentTypeDescription="Creare un nuovo documento." ma:contentTypeScope="" ma:versionID="e4c6bf9ca40b5474d28de3b820fe9ee6">
  <xsd:schema xmlns:xsd="http://www.w3.org/2001/XMLSchema" xmlns:xs="http://www.w3.org/2001/XMLSchema" xmlns:p="http://schemas.microsoft.com/office/2006/metadata/properties" xmlns:ns2="65f3d0ed-a517-4cc2-8d85-3f3b0f89f380" xmlns:ns3="7f40ba01-8984-43ef-9c48-57dd13317510" targetNamespace="http://schemas.microsoft.com/office/2006/metadata/properties" ma:root="true" ma:fieldsID="d748fa621d02ef0e467416e974a32ff3" ns2:_="" ns3:_="">
    <xsd:import namespace="65f3d0ed-a517-4cc2-8d85-3f3b0f89f380"/>
    <xsd:import namespace="7f40ba01-8984-43ef-9c48-57dd133175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0ed-a517-4cc2-8d85-3f3b0f89f3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Tag immagine" ma:readOnly="false" ma:fieldId="{5cf76f15-5ced-4ddc-b409-7134ff3c332f}" ma:taxonomyMulti="true" ma:sspId="a087d216-9da7-4ca6-a432-9e625d0d44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40ba01-8984-43ef-9c48-57dd1331751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4785ee9-8684-41cf-b7ca-d094007c099b}" ma:internalName="TaxCatchAll" ma:showField="CatchAllData" ma:web="7f40ba01-8984-43ef-9c48-57dd1331751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1409C-461B-4D29-8842-2B765B7AE54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D9FA14-AE65-4D8A-B9E0-C45B4D449E20}">
  <ds:schemaRefs>
    <ds:schemaRef ds:uri="http://schemas.microsoft.com/office/2006/metadata/properties"/>
    <ds:schemaRef ds:uri="http://schemas.microsoft.com/office/infopath/2007/PartnerControls"/>
    <ds:schemaRef ds:uri="7f40ba01-8984-43ef-9c48-57dd13317510"/>
    <ds:schemaRef ds:uri="65f3d0ed-a517-4cc2-8d85-3f3b0f89f380"/>
  </ds:schemaRefs>
</ds:datastoreItem>
</file>

<file path=customXml/itemProps3.xml><?xml version="1.0" encoding="utf-8"?>
<ds:datastoreItem xmlns:ds="http://schemas.openxmlformats.org/officeDocument/2006/customXml" ds:itemID="{E0EB34EB-8CAD-4AFA-A728-FE185809AD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0ed-a517-4cc2-8d85-3f3b0f89f380"/>
    <ds:schemaRef ds:uri="7f40ba01-8984-43ef-9c48-57dd1331751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BCC9BA6-F8C6-4AA9-94B7-B03BC172FD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1332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INDIRE</Company>
  <LinksUpToDate>false</LinksUpToDate>
  <CharactersWithSpaces>8914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LORENZO CALISTRI</dc:creator>
  <cp:keywords/>
  <dc:description/>
  <cp:lastModifiedBy>LEONI LOREDANA</cp:lastModifiedBy>
  <cp:revision>2</cp:revision>
  <cp:lastPrinted>2023-11-14T13:20:00Z</cp:lastPrinted>
  <dcterms:created xsi:type="dcterms:W3CDTF">2025-02-28T11:26:00Z</dcterms:created>
  <dcterms:modified xsi:type="dcterms:W3CDTF">2025-02-28T11:26:00Z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0x010100C85AB7F3EB30B54988EC6A633916B1EA</vt:lpwstr>
  </property>
</Properties>
</file>